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D7" w:rsidRPr="00C903D7" w:rsidRDefault="00C903D7" w:rsidP="00C90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903D7">
        <w:rPr>
          <w:rFonts w:ascii="Times New Roman" w:hAnsi="Times New Roman"/>
          <w:b/>
          <w:sz w:val="32"/>
          <w:szCs w:val="32"/>
        </w:rPr>
        <w:t xml:space="preserve">О бюджете  </w:t>
      </w:r>
      <w:proofErr w:type="spellStart"/>
      <w:r w:rsidRPr="00C903D7">
        <w:rPr>
          <w:rFonts w:ascii="Times New Roman" w:hAnsi="Times New Roman"/>
          <w:b/>
          <w:sz w:val="32"/>
          <w:szCs w:val="32"/>
        </w:rPr>
        <w:t>Анастасиевского</w:t>
      </w:r>
      <w:proofErr w:type="spellEnd"/>
      <w:r w:rsidRPr="00C903D7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C903D7" w:rsidRPr="00C903D7" w:rsidRDefault="00C903D7" w:rsidP="00C90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03D7">
        <w:rPr>
          <w:rFonts w:ascii="Times New Roman" w:hAnsi="Times New Roman"/>
          <w:b/>
          <w:sz w:val="32"/>
          <w:szCs w:val="32"/>
        </w:rPr>
        <w:t>Славянского района на 2019 год»</w:t>
      </w:r>
    </w:p>
    <w:p w:rsidR="00C903D7" w:rsidRDefault="00C903D7" w:rsidP="00C9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характеристика доходов бюджета </w:t>
      </w: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сельского поселения сформирована и исполнена в  соответствии с требованиями статей 9, 41, 47, 61.1, 62, 64, 154 БК РФ.  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основу расчетов по формированию доходной части бюджета на 2019 год положены прогнозные данные по социально-экономическому развитию поселения на среднесрочную перспективу в отраслевом разрезе, параметры прогноза и анализ поступлений в разрезе доходных источников за предшествующий год, с корректировкой на суммы разовых платежей и изменений налоговой базы, индексы роста цен, заработной платы, показатели собираемости налогов в динамике за предшествующий год, ряд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 параметров, влияющих на изменение налогооблагаемой базы.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доходной базы бюджета сельского поселения на 2019 год осуществлялось исходя из норм действующего бюджетного и налогового законодательства с учётом изменений и дополнений, внесённых в законодательство Российской Федерации о налогах и сборах.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доходов на 2019 год прогнозируется в сумме 49240,0     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числе: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-собственные доходы составляют 37211,6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,;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-субвенции на выполнение передаваемых полномочий в сумме 413,0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-прочие безвозмездные поступления в сумме 500,0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-дотации на выравнивание бюджетной обеспеченности в сумме 11052,5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Рис.1            </w:t>
      </w:r>
      <w:r>
        <w:rPr>
          <w:noProof/>
        </w:rPr>
        <w:drawing>
          <wp:inline distT="0" distB="0" distL="0" distR="0">
            <wp:extent cx="5135880" cy="2677160"/>
            <wp:effectExtent l="0" t="0" r="2667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Значительную часть от общего объёма доходов бюджета на 2019 год составляют налоговые доходы в сумме 35958,1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73,0%, что выше ожидаемого поступления в 2018 году (32685,6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на 3275,5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10,0% и ниже фактического исполнения за 2017 год (40412,1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на 4454,0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11,0%. </w:t>
      </w:r>
    </w:p>
    <w:p w:rsidR="00C903D7" w:rsidRDefault="00C903D7" w:rsidP="00C903D7">
      <w:pPr>
        <w:tabs>
          <w:tab w:val="left" w:pos="76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Рис.2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257800" cy="3088640"/>
            <wp:effectExtent l="0" t="0" r="1905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запланированы в сумме 1316,4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2,7% от общей суммы поступлений, что ниже ожидаемого поступления за 2018 год (1529,0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на 212,6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13,9% и ниже фактического поступления за 2017 год (1750,0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на 433,6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24,8%.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tabs>
          <w:tab w:val="left" w:pos="8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Рис.3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297180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составе доходов предусматриваются безвозмездные поступления из бюджетов других уровней в сумме 11965,5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ниже ожидаемого поступления за 2018 год (18796,8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на 6831,3 или на 36,3% и выше фактического поступления в 2017 году (9190,0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 на 2775,5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30,2%.</w:t>
      </w:r>
    </w:p>
    <w:p w:rsidR="00C903D7" w:rsidRDefault="00C903D7" w:rsidP="00C9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Рис.4</w:t>
      </w:r>
    </w:p>
    <w:p w:rsidR="00C903D7" w:rsidRDefault="00C903D7" w:rsidP="00C903D7">
      <w:pPr>
        <w:tabs>
          <w:tab w:val="left" w:pos="173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1640" cy="32156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Сравнительная характеристика доходов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 за 2017-2019 годы приведена в Таблице №1.</w:t>
      </w:r>
    </w:p>
    <w:p w:rsidR="00C903D7" w:rsidRDefault="00C903D7" w:rsidP="00C9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903D7" w:rsidRDefault="00C903D7" w:rsidP="00C9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Таблица №1</w:t>
      </w:r>
    </w:p>
    <w:p w:rsidR="00C903D7" w:rsidRDefault="00C903D7" w:rsidP="00C90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Динамика доходов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03D7" w:rsidRDefault="00C903D7" w:rsidP="00C90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2017-2019 годов</w:t>
      </w:r>
    </w:p>
    <w:p w:rsidR="00C903D7" w:rsidRDefault="00C903D7" w:rsidP="00C903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68"/>
        <w:gridCol w:w="1277"/>
        <w:gridCol w:w="1418"/>
        <w:gridCol w:w="1134"/>
        <w:gridCol w:w="1276"/>
        <w:gridCol w:w="1276"/>
        <w:gridCol w:w="1028"/>
        <w:gridCol w:w="851"/>
        <w:gridCol w:w="992"/>
      </w:tblGrid>
      <w:tr w:rsidR="00C903D7" w:rsidTr="00C903D7">
        <w:trPr>
          <w:trHeight w:val="78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за 2017 год,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Ожидаемое исполнение 2018г.,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2019 год, 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 к 2017 году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ожид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2018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плана 2019год</w:t>
            </w:r>
          </w:p>
        </w:tc>
      </w:tr>
      <w:tr w:rsidR="00C903D7" w:rsidTr="00C903D7">
        <w:trPr>
          <w:trHeight w:val="589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объема доходов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42 162,1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34 211,6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37 274,5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-4 887,6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3 062,9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75,7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40 412,1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73,0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22,4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ЕСХН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имущество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3 420,6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7,6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17 437,5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9 160,6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-8 175,4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18,8</w:t>
            </w:r>
          </w:p>
        </w:tc>
      </w:tr>
      <w:tr w:rsidR="00C903D7" w:rsidTr="00C903D7">
        <w:trPr>
          <w:trHeight w:val="5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1 316,4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2,7</w:t>
            </w:r>
          </w:p>
        </w:tc>
      </w:tr>
      <w:tr w:rsidR="00C903D7" w:rsidTr="00C903D7">
        <w:trPr>
          <w:trHeight w:val="102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C903D7" w:rsidTr="00C903D7">
        <w:trPr>
          <w:trHeight w:val="4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C903D7" w:rsidTr="00C903D7">
        <w:trPr>
          <w:trHeight w:val="52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18 796,8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-6 831,3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24,3</w:t>
            </w:r>
          </w:p>
        </w:tc>
      </w:tr>
      <w:tr w:rsidR="00C903D7" w:rsidTr="00C903D7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-3 768,4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выше проведенного анализа доходной части бюджета сельского поселения на 2019 год наблюдается снижение доходной части бюджета по сравнению с ожидаемым поступлением за 2018 год, в том числе за счет снижения безвозмездных поступлений на 6831,3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36,3%.</w:t>
      </w: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проектом бюджета сельского поселения предусматривается получение межбюджетных трансфертов в общем объёме 11965,5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24,3% от общего объёма доходов бюджета сельского поселения, в том числе: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представлены в виде субвенций, в том числе: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на осуществление полномочий по первичному учету на территориях, где отсутствуют военные комиссариаты в сумме 405,4                   тыс. рублей;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выполнение передаваемых полномочий в сумме 7,6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безвозмездные поступления запланированы в сумме 500,0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Дотации на выравнивание бюджетной обеспеченности в сумме 11052,5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903D7" w:rsidRDefault="00C903D7" w:rsidP="00C903D7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Таблица № 2</w:t>
      </w:r>
    </w:p>
    <w:p w:rsidR="00C903D7" w:rsidRDefault="00C903D7" w:rsidP="00C903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 безвозмездных поступлений в бюджет</w:t>
      </w:r>
    </w:p>
    <w:p w:rsidR="00C903D7" w:rsidRDefault="00C903D7" w:rsidP="00C903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903D7" w:rsidRDefault="00C903D7" w:rsidP="00C903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2017-2019 годов.</w:t>
      </w:r>
    </w:p>
    <w:p w:rsidR="00C903D7" w:rsidRDefault="00C903D7" w:rsidP="00C903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276"/>
        <w:gridCol w:w="1134"/>
        <w:gridCol w:w="992"/>
        <w:gridCol w:w="1134"/>
        <w:gridCol w:w="992"/>
        <w:gridCol w:w="992"/>
        <w:gridCol w:w="1134"/>
        <w:gridCol w:w="895"/>
      </w:tblGrid>
      <w:tr w:rsidR="00C903D7" w:rsidTr="00C903D7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</w:t>
            </w:r>
            <w:proofErr w:type="spellEnd"/>
          </w:p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за 2017 год,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2018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исполне</w:t>
            </w:r>
            <w:proofErr w:type="spellEnd"/>
          </w:p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на 2019 год, т.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Отклонения плана 2019 г. к </w:t>
            </w:r>
            <w:proofErr w:type="gramStart"/>
            <w:r>
              <w:rPr>
                <w:rFonts w:ascii="Times New Roman" w:hAnsi="Times New Roman"/>
              </w:rPr>
              <w:t>ожидаемому</w:t>
            </w:r>
            <w:proofErr w:type="gramEnd"/>
            <w:r>
              <w:rPr>
                <w:rFonts w:ascii="Times New Roman" w:hAnsi="Times New Roman"/>
              </w:rPr>
              <w:t xml:space="preserve"> исполн.2018г.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 плана 2019г. к исполнению 2017г.</w:t>
            </w:r>
          </w:p>
        </w:tc>
      </w:tr>
      <w:tr w:rsidR="00C903D7" w:rsidTr="00C903D7">
        <w:trPr>
          <w:trHeight w:val="8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т.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исполнение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т. 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т. р.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C903D7" w:rsidTr="00C903D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903D7" w:rsidTr="00C903D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-11843,7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-7369,5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903D7" w:rsidTr="00C903D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</w:t>
            </w:r>
          </w:p>
        </w:tc>
      </w:tr>
      <w:tr w:rsidR="00C903D7" w:rsidTr="00C903D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903D7" w:rsidTr="00C903D7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</w:rPr>
              <w:t>безвозмез</w:t>
            </w:r>
            <w:proofErr w:type="spellEnd"/>
          </w:p>
          <w:p w:rsidR="00C903D7" w:rsidRDefault="00C903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дные</w:t>
            </w:r>
            <w:proofErr w:type="spellEnd"/>
            <w:r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</w:tr>
      <w:tr w:rsidR="00C903D7" w:rsidTr="00C903D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11 965,5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130,2</w:t>
            </w:r>
          </w:p>
        </w:tc>
      </w:tr>
    </w:tbl>
    <w:p w:rsidR="00C903D7" w:rsidRDefault="00C903D7" w:rsidP="00C903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расходных обязательств.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определения объёма расходов бюджета поселения на очередной финансовый год является предварительный реестр расходных обязательств на исполнение действующих муниципальных правовых актов.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обязательства сельского поселения  подтверждены муниципальными правовыми актами и отражены в реестре расходных обязательств, сформированном, согласно требованиям ст. 87 Бюджетного кодекса РФ.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обязательствам бюджета на 2019 год спрогнозированы в сумме  49240,0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903D7" w:rsidRDefault="00C903D7" w:rsidP="00C903D7">
      <w:pPr>
        <w:tabs>
          <w:tab w:val="left" w:pos="8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3D7" w:rsidRDefault="00C903D7" w:rsidP="00C903D7">
      <w:pPr>
        <w:tabs>
          <w:tab w:val="left" w:pos="821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Рис.5                        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90160" cy="3459480"/>
            <wp:effectExtent l="0" t="0" r="1524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3D7" w:rsidRDefault="00C903D7" w:rsidP="00C9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занимают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-общегосударственные вопросы-44,6%;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-национальную экономику-18,8%;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-культуру-28%.    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Сравнительная характеристика расходов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 за 2017-2019 годы приведена в Таблице №3.</w:t>
      </w:r>
    </w:p>
    <w:p w:rsidR="00C903D7" w:rsidRDefault="00C903D7" w:rsidP="00C9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Таблица № 3                                                                                                                                                            </w:t>
      </w:r>
    </w:p>
    <w:p w:rsidR="00C903D7" w:rsidRDefault="00C903D7" w:rsidP="00C903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Динамика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Славянского района  за 2017-2019 годы</w:t>
      </w:r>
    </w:p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417"/>
        <w:gridCol w:w="1276"/>
        <w:gridCol w:w="1134"/>
        <w:gridCol w:w="1276"/>
        <w:gridCol w:w="1134"/>
        <w:gridCol w:w="992"/>
      </w:tblGrid>
      <w:tr w:rsidR="00C903D7" w:rsidTr="00C903D7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2017 год, т. 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2018г,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2019г.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Отклонения к 2017 году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Отклонения к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ожид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2018г.</w:t>
            </w:r>
          </w:p>
        </w:tc>
      </w:tr>
      <w:tr w:rsidR="00C903D7" w:rsidTr="00C903D7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903D7" w:rsidTr="00C903D7">
        <w:trPr>
          <w:trHeight w:val="28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903D7" w:rsidTr="00C903D7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119,3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91,7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106,2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-7 396,8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49,2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3 646,4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94,8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127,7</w:t>
            </w:r>
          </w:p>
        </w:tc>
      </w:tr>
      <w:tr w:rsidR="00C903D7" w:rsidTr="00C903D7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12 735,4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13 338,2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13 786,0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103,4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148,4</w:t>
            </w:r>
          </w:p>
        </w:tc>
      </w:tr>
      <w:tr w:rsidR="00C903D7" w:rsidTr="00C903D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147,1</w:t>
            </w:r>
          </w:p>
        </w:tc>
      </w:tr>
      <w:tr w:rsidR="00C903D7" w:rsidTr="00C903D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903D7" w:rsidTr="00C903D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53 670,2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-6 724,3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</w:tr>
    </w:tbl>
    <w:p w:rsidR="00C903D7" w:rsidRDefault="00C903D7" w:rsidP="00C903D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очередной финансовый 2019 год снижение расходных обязательств к ожидаемому 2018 году прогнозируется в сумме 6724,3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10% по следующим статьям: </w:t>
      </w:r>
    </w:p>
    <w:p w:rsidR="00C903D7" w:rsidRDefault="00C903D7" w:rsidP="00C9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-«Национальная оборона» на 36,7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8,3%; 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-«Национальная экономика»  на 9571,6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50,8%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-«Жилищно-коммунальное хозяйство» на 138,9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5,2%.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142.5 Бюджетного кодекса Российской Федерации, с пунктом 4 статьи 65 Федерального закона от 6 октября 2003 года № 131-ФЗ «Об общих принципах организации местного самоуправления в Российской Федерации», в целях исполнения полномочий по осуществлению внешнего муниципального финансового контроля, по размещению сведений на портале «Государственные и муниципальные услуги», по организации теплоснабжения в границах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пятьдесят седьмой сессии 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Славянского района от 25.10.2018 №1 «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 методике распределения межбюджетных трансфертов из бюджета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Анастасиевского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Славянского района бюджету муниципального образования Славянский район на 2019 год»</w:t>
      </w:r>
      <w:r>
        <w:rPr>
          <w:rFonts w:ascii="Times New Roman" w:hAnsi="Times New Roman"/>
          <w:sz w:val="28"/>
          <w:szCs w:val="28"/>
          <w:lang w:eastAsia="ar-SA"/>
        </w:rPr>
        <w:t xml:space="preserve"> утверждены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методики распределения межбюджетных трансфертов из бюджета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Анастасиевского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Славянского района бюджету муниципального образования Славянский район на обеспечение переданных полномочий.</w:t>
      </w:r>
      <w:proofErr w:type="gramEnd"/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Объем межбюджетных трансфертов на 2019 год предусмотрен: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2027"/>
      </w:tblGrid>
      <w:tr w:rsidR="00C903D7" w:rsidTr="00C903D7">
        <w:trPr>
          <w:trHeight w:val="7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передаваемого полномочия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расходов</w:t>
            </w:r>
          </w:p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C903D7" w:rsidTr="00C903D7">
        <w:trPr>
          <w:trHeight w:val="318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Межбюджетные трансферты, всего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151,4</w:t>
            </w:r>
          </w:p>
        </w:tc>
      </w:tr>
      <w:tr w:rsidR="00C903D7" w:rsidTr="00C903D7">
        <w:trPr>
          <w:trHeight w:val="712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том числе:</w:t>
            </w:r>
          </w:p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Предоставляемые из местного бюджета на финансирование расходов, связанных с передачей части полномочий органам местного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самоуправления муниципального образования Славянский район по обеспечению деятельности финансовых, налоговых и таможенных и органов финансового (финансово-бюджетного) надзора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97,0</w:t>
            </w:r>
          </w:p>
        </w:tc>
      </w:tr>
      <w:tr w:rsidR="00C903D7" w:rsidTr="00C903D7">
        <w:trPr>
          <w:trHeight w:val="411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Предоставляемые из местного бюджета на финансирование расходов, связанных с передачей части полномочий органам местного самоуправления муниципального образования Славянский район по размещению сведений на портале «Государственные и муниципальные услуги»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26,4</w:t>
            </w:r>
          </w:p>
        </w:tc>
      </w:tr>
      <w:tr w:rsidR="00C903D7" w:rsidTr="00C903D7">
        <w:trPr>
          <w:trHeight w:val="411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Предоставляемые из местного бюджета на финансирование расходов, связанных с передачей полномочий муниципальному образованию Славянский район по организации теплоснабжения в границах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сельского поселения Славянского района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D7" w:rsidRDefault="00C90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28,0</w:t>
            </w:r>
          </w:p>
        </w:tc>
      </w:tr>
    </w:tbl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программно-целевого метода</w:t>
      </w: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планирования расходов  бюджета</w:t>
      </w: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на 2019 год содержит расходные обязательства на проведение мероприятий по десяти муниципальным программам.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Славянского района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района» от 11.10.2018        № 276 утвержден перечень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 предусмотрено в 2019 году 10691,5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21,7 % от общего объема расходов бюджета.</w:t>
      </w: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местного бюджета в разрезе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 характеризуются следующими данными:</w:t>
      </w:r>
    </w:p>
    <w:p w:rsidR="00C903D7" w:rsidRDefault="00C903D7" w:rsidP="00C90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83"/>
        <w:gridCol w:w="1560"/>
      </w:tblGrid>
      <w:tr w:rsidR="00C903D7" w:rsidTr="00C903D7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«Обеспечение безопасности населения» на 2018 -2020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387,4</w:t>
            </w:r>
          </w:p>
        </w:tc>
      </w:tr>
      <w:tr w:rsidR="00C903D7" w:rsidTr="00C903D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«Капитальный ремонт и ремонт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на 2018–2020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C903D7" w:rsidTr="00C903D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на 2018–2020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3262,1</w:t>
            </w:r>
          </w:p>
        </w:tc>
      </w:tr>
      <w:tr w:rsidR="00C903D7" w:rsidTr="00C903D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«Поддержка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района» на 2018 - 2020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C903D7" w:rsidTr="00C903D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муниципальной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«Развитие жилищно-коммунального хозяйства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района»  на 2018 – 2020 годы. </w:t>
            </w:r>
          </w:p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sub_1000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водоснабжения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Анастасиевском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Славянского района на 2018 – 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500,0</w:t>
            </w:r>
          </w:p>
        </w:tc>
      </w:tr>
      <w:tr w:rsidR="00C903D7" w:rsidTr="00C903D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муниципальной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на 2018 - 2020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C903D7" w:rsidTr="00C903D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Мероприятия по муниципальной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«Молодёжь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Славянского района»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903D7" w:rsidTr="00C903D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«Развитие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района» на 2018 - 2020 годы. Подпрограмма «Культура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903D7" w:rsidTr="00C903D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«Социально-экономическая поддержка граждан, оказавшихся  в трудной жизненной ситуации, проживающих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 поселения Славянского района» 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03D7" w:rsidTr="00C903D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«Развитие физической культуры и спорта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Анастасиевского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Славянского района» на 2018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903D7" w:rsidTr="00C903D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7" w:rsidRDefault="00C9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D7" w:rsidRDefault="00C9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10691,5 </w:t>
            </w:r>
          </w:p>
        </w:tc>
      </w:tr>
    </w:tbl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муниципальные программы разработаны в соответствии с Порядком принятия решений о разработке, формировании,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Славянского района от 29.08.2014г. №387.</w:t>
      </w:r>
    </w:p>
    <w:p w:rsidR="00C903D7" w:rsidRDefault="00C903D7" w:rsidP="00C90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03D7" w:rsidRDefault="00C903D7" w:rsidP="00C903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027D" w:rsidRDefault="0084027D"/>
    <w:sectPr w:rsidR="0084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1"/>
    <w:rsid w:val="004200E5"/>
    <w:rsid w:val="0084027D"/>
    <w:rsid w:val="00C903D7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20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00E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0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00E5"/>
    <w:rPr>
      <w:rFonts w:ascii="Arial" w:hAnsi="Arial" w:cs="Arial"/>
      <w:b/>
      <w:bCs/>
      <w:sz w:val="26"/>
      <w:szCs w:val="26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C90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20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00E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0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00E5"/>
    <w:rPr>
      <w:rFonts w:ascii="Arial" w:hAnsi="Arial" w:cs="Arial"/>
      <w:b/>
      <w:bCs/>
      <w:sz w:val="26"/>
      <w:szCs w:val="26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C90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file:///C:\Users\73B5~1\AppData\Local\Temp\&#1040;&#1085;&#1072;&#1089;&#1090;&#1072;&#1089;&#1080;&#1077;&#1074;&#1089;&#1082;&#1086;&#1077;%20&#1087;&#1086;&#1089;&#1077;&#1083;&#1077;&#1085;&#1080;&#1077;%20&#1101;&#1082;&#1089;&#1087;&#1077;&#1088;&#1090;&#1080;&#1079;&#1072;%20&#1087;&#1088;&#1086;&#1077;&#1082;&#1090;&#1072;%20&#1073;&#1102;&#1076;&#1078;&#1077;&#1090;&#1072;%20&#1085;&#1072;%202019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</a:t>
            </a:r>
          </a:p>
          <a:p>
            <a:pPr>
              <a:defRPr/>
            </a:pPr>
            <a:r>
              <a:rPr lang="ru-RU"/>
              <a:t>на 2019</a:t>
            </a:r>
            <a:r>
              <a:rPr lang="ru-RU" baseline="0"/>
              <a:t> год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7344940152339497"/>
          <c:y val="1.165274810642843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669777896561882E-2"/>
          <c:y val="0.21803392754192771"/>
          <c:w val="0.54809404265163264"/>
          <c:h val="0.684308233315495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на 2015 год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 73,0%</c:v>
                </c:pt>
                <c:pt idx="1">
                  <c:v>Неналоговые доходы 2,7%</c:v>
                </c:pt>
                <c:pt idx="2">
                  <c:v>Безвозмездные поступления 24,3%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0.73</c:v>
                </c:pt>
                <c:pt idx="1">
                  <c:v>2.7E-2</c:v>
                </c:pt>
                <c:pt idx="2">
                  <c:v>0.24299999999999999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40412.1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ожид.исполнен.2018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32682.6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35958.1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602112"/>
        <c:axId val="95301568"/>
        <c:axId val="0"/>
      </c:bar3DChart>
      <c:catAx>
        <c:axId val="1446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301568"/>
        <c:crosses val="autoZero"/>
        <c:auto val="1"/>
        <c:lblAlgn val="ctr"/>
        <c:lblOffset val="100"/>
        <c:noMultiLvlLbl val="0"/>
      </c:catAx>
      <c:valAx>
        <c:axId val="9530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0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ожид.исполнен.2018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Неналоговые доходы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Неналоговые доходы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1316.4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603136"/>
        <c:axId val="95303296"/>
        <c:axId val="0"/>
      </c:bar3DChart>
      <c:catAx>
        <c:axId val="14460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95303296"/>
        <c:crosses val="autoZero"/>
        <c:auto val="1"/>
        <c:lblAlgn val="ctr"/>
        <c:lblOffset val="100"/>
        <c:noMultiLvlLbl val="0"/>
      </c:catAx>
      <c:valAx>
        <c:axId val="9530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0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ожид.исполнен.2018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18796.8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11965.5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579904"/>
        <c:axId val="147939904"/>
        <c:axId val="0"/>
      </c:bar3DChart>
      <c:catAx>
        <c:axId val="14757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939904"/>
        <c:crosses val="autoZero"/>
        <c:auto val="1"/>
        <c:lblAlgn val="ctr"/>
        <c:lblOffset val="100"/>
        <c:noMultiLvlLbl val="0"/>
      </c:catAx>
      <c:valAx>
        <c:axId val="14793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57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61054664787673E-2"/>
          <c:y val="3.6878257607903843E-2"/>
          <c:w val="0.50855261990874423"/>
          <c:h val="0.794117647058823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3618992244242314E-2"/>
                  <c:y val="-0.11576511116257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267864358006565E-2"/>
                  <c:y val="1.0299907364520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726212884215505E-2"/>
                  <c:y val="6.5998726262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198673538773858E-2"/>
                  <c:y val="6.0778138026864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138135267509585E-2"/>
                  <c:y val="-7.372510421491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184797926542035E-2"/>
                  <c:y val="9.9814729041222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54048860287958E-2"/>
                  <c:y val="-0.11189381658175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вопросы-44,6%</c:v>
                </c:pt>
                <c:pt idx="1">
                  <c:v>Национальная оборона-0,8%</c:v>
                </c:pt>
                <c:pt idx="2">
                  <c:v>Национальна безопасность-0,8%</c:v>
                </c:pt>
                <c:pt idx="3">
                  <c:v>Национальная экономика-18,8%</c:v>
                </c:pt>
                <c:pt idx="4">
                  <c:v>ЖКХ-5,3%</c:v>
                </c:pt>
                <c:pt idx="5">
                  <c:v>Образование-0,3%</c:v>
                </c:pt>
                <c:pt idx="6">
                  <c:v>Культура-21,5%</c:v>
                </c:pt>
                <c:pt idx="7">
                  <c:v>Социальная политика-1,1%</c:v>
                </c:pt>
                <c:pt idx="8">
                  <c:v>Физическая культура и спорт-0,3%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44.6</c:v>
                </c:pt>
                <c:pt idx="1">
                  <c:v>0.8</c:v>
                </c:pt>
                <c:pt idx="2">
                  <c:v>0.8</c:v>
                </c:pt>
                <c:pt idx="3">
                  <c:v>18.8</c:v>
                </c:pt>
                <c:pt idx="4">
                  <c:v>5.3</c:v>
                </c:pt>
                <c:pt idx="5">
                  <c:v>0.3</c:v>
                </c:pt>
                <c:pt idx="6">
                  <c:v>28</c:v>
                </c:pt>
                <c:pt idx="7">
                  <c:v>1.1000000000000001</c:v>
                </c:pt>
                <c:pt idx="8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55505083395672"/>
          <c:y val="0.16358135404844373"/>
          <c:w val="0.2805986600365758"/>
          <c:h val="0.762480814804796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2417</Words>
  <Characters>13780</Characters>
  <Application>Microsoft Office Word</Application>
  <DocSecurity>0</DocSecurity>
  <Lines>114</Lines>
  <Paragraphs>32</Paragraphs>
  <ScaleCrop>false</ScaleCrop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2018-12-07T11:03:00Z</dcterms:created>
  <dcterms:modified xsi:type="dcterms:W3CDTF">2018-12-07T11:07:00Z</dcterms:modified>
</cp:coreProperties>
</file>